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8" w:rsidRPr="000E4B88" w:rsidRDefault="000E4B88" w:rsidP="002A721F">
      <w:pPr>
        <w:adjustRightInd w:val="0"/>
        <w:spacing w:after="120" w:line="0" w:lineRule="atLeast"/>
        <w:outlineLvl w:val="0"/>
        <w:rPr>
          <w:rFonts w:ascii="ＭＳ 明朝" w:hAnsi="ＭＳ 明朝"/>
          <w:szCs w:val="40"/>
        </w:rPr>
      </w:pPr>
      <w:r w:rsidRPr="000E4B88">
        <w:rPr>
          <w:rFonts w:ascii="ＭＳ 明朝" w:hAnsi="ＭＳ 明朝" w:hint="eastAsia"/>
          <w:szCs w:val="40"/>
        </w:rPr>
        <w:t>別記様式第６号</w:t>
      </w:r>
    </w:p>
    <w:p w:rsidR="000E4B88" w:rsidRPr="000E4B88" w:rsidRDefault="000E4B88" w:rsidP="000E4B88">
      <w:pPr>
        <w:spacing w:before="240" w:after="120"/>
        <w:jc w:val="center"/>
        <w:outlineLvl w:val="0"/>
        <w:rPr>
          <w:rFonts w:ascii="ＭＳ 明朝" w:hAnsi="ＭＳ 明朝"/>
          <w:b/>
          <w:sz w:val="26"/>
          <w:szCs w:val="26"/>
        </w:rPr>
      </w:pPr>
      <w:r w:rsidRPr="000E4B88">
        <w:rPr>
          <w:rFonts w:eastAsia="HG丸ｺﾞｼｯｸM-PRO" w:hint="eastAsia"/>
          <w:b/>
          <w:sz w:val="26"/>
          <w:szCs w:val="26"/>
        </w:rPr>
        <w:t>提　案　書</w:t>
      </w:r>
    </w:p>
    <w:p w:rsidR="000E4B88" w:rsidRPr="000E4B88" w:rsidRDefault="000E4B88" w:rsidP="000E4B88">
      <w:pPr>
        <w:rPr>
          <w:rFonts w:ascii="ＭＳ Ｐゴシック" w:hAnsi="ＭＳ Ｐゴシック"/>
          <w:sz w:val="20"/>
        </w:rPr>
      </w:pPr>
      <w:r w:rsidRPr="000E4B88">
        <w:rPr>
          <w:rFonts w:ascii="ＭＳ Ｐゴシック" w:hAnsi="ＭＳ Ｐゴシック" w:hint="eastAsia"/>
          <w:sz w:val="20"/>
        </w:rPr>
        <w:t>①　児童相談所一時保護所給食の基本的な考え方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1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.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児童相談所一時保護所給食調理業務の理念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b/>
                <w:bCs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2.</w:t>
            </w:r>
            <w:r w:rsidRPr="000E4B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E4B88">
              <w:rPr>
                <w:rFonts w:ascii="ＭＳ 明朝" w:hAnsi="ＭＳ 明朝" w:hint="eastAsia"/>
                <w:sz w:val="18"/>
                <w:szCs w:val="20"/>
              </w:rPr>
              <w:t>児童相談所一時保護所給食調理業務に対する理解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bookmarkStart w:id="0" w:name="_Hlk160634933"/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3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.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児童相談所一時保護所との連携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4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.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児童との関わり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b/>
                <w:bCs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5.</w:t>
            </w:r>
            <w:r w:rsidRPr="000E4B88">
              <w:rPr>
                <w:rFonts w:ascii="ＭＳ 明朝" w:hAnsi="ＭＳ 明朝" w:hint="eastAsia"/>
                <w:sz w:val="20"/>
                <w:szCs w:val="20"/>
              </w:rPr>
              <w:t xml:space="preserve"> 食育活動への協力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b/>
                <w:bCs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6.</w:t>
            </w:r>
            <w:r w:rsidRPr="000E4B88">
              <w:rPr>
                <w:rFonts w:ascii="ＭＳ 明朝" w:hAnsi="ＭＳ 明朝" w:hint="eastAsia"/>
                <w:sz w:val="20"/>
                <w:szCs w:val="20"/>
              </w:rPr>
              <w:t xml:space="preserve"> 行事への協力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bookmarkEnd w:id="0"/>
    <w:p w:rsidR="000E4B88" w:rsidRPr="000E4B88" w:rsidRDefault="000E4B88" w:rsidP="000E4B88">
      <w:pPr>
        <w:rPr>
          <w:rFonts w:ascii="ＭＳ Ｐゴシック" w:hAnsi="ＭＳ Ｐゴシック"/>
          <w:sz w:val="20"/>
          <w:szCs w:val="20"/>
        </w:rPr>
      </w:pPr>
      <w:r w:rsidRPr="000E4B88">
        <w:rPr>
          <w:rFonts w:ascii="ＭＳ Ｐゴシック" w:hAnsi="ＭＳ Ｐゴシック" w:hint="eastAsia"/>
          <w:sz w:val="20"/>
          <w:szCs w:val="20"/>
        </w:rPr>
        <w:t>②　人員体制、衛生管理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1.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 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職員の選考及び採用の基準・方針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2.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人材の豊富さ・経験年数・配置人数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3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.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人事異動の方針、職員の定着率を高める取組・支援体制、巡回指導体制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4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 xml:space="preserve">.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バックアップ体制（連絡・対応）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5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 xml:space="preserve">.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衛生管理の取組、自主衛生検査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lastRenderedPageBreak/>
              <w:t>6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 xml:space="preserve">.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衛生管理業務への提案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0E4B88" w:rsidRPr="000E4B88" w:rsidRDefault="000E4B88" w:rsidP="000E4B88">
      <w:pPr>
        <w:rPr>
          <w:rFonts w:ascii="ＭＳ Ｐゴシック" w:hAnsi="ＭＳ Ｐゴシック"/>
          <w:sz w:val="20"/>
          <w:szCs w:val="20"/>
        </w:rPr>
      </w:pPr>
      <w:bookmarkStart w:id="1" w:name="_Hlk160630741"/>
      <w:r w:rsidRPr="000E4B88">
        <w:rPr>
          <w:rFonts w:ascii="ＭＳ Ｐゴシック" w:hAnsi="ＭＳ Ｐゴシック" w:hint="eastAsia"/>
          <w:sz w:val="20"/>
          <w:szCs w:val="20"/>
        </w:rPr>
        <w:t xml:space="preserve">③　</w:t>
      </w:r>
      <w:r w:rsidR="00A54DBE">
        <w:rPr>
          <w:rFonts w:ascii="ＭＳ Ｐゴシック" w:hAnsi="ＭＳ Ｐゴシック" w:hint="eastAsia"/>
          <w:sz w:val="20"/>
          <w:szCs w:val="20"/>
        </w:rPr>
        <w:t>日常</w:t>
      </w:r>
      <w:bookmarkStart w:id="2" w:name="_GoBack"/>
      <w:bookmarkEnd w:id="2"/>
      <w:r w:rsidRPr="000E4B88">
        <w:rPr>
          <w:rFonts w:ascii="ＭＳ Ｐゴシック" w:hAnsi="ＭＳ Ｐゴシック" w:hint="eastAsia"/>
          <w:sz w:val="20"/>
          <w:szCs w:val="20"/>
        </w:rPr>
        <w:t>業務の引継ぎ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bookmarkStart w:id="3" w:name="_Hlk160631144"/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1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.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引継ぎ体制・スケジュール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2.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円滑な引継ぎにおける具体的な提案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ind w:firstLine="100"/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ind w:firstLine="100"/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bookmarkEnd w:id="1"/>
    <w:bookmarkEnd w:id="3"/>
    <w:p w:rsidR="000E4B88" w:rsidRPr="000E4B88" w:rsidRDefault="000E4B88" w:rsidP="000E4B88">
      <w:pPr>
        <w:rPr>
          <w:rFonts w:ascii="ＭＳ Ｐゴシック" w:hAnsi="ＭＳ Ｐゴシック"/>
          <w:sz w:val="20"/>
          <w:szCs w:val="20"/>
        </w:rPr>
      </w:pPr>
      <w:r w:rsidRPr="000E4B88">
        <w:rPr>
          <w:rFonts w:ascii="ＭＳ Ｐゴシック" w:hAnsi="ＭＳ Ｐゴシック" w:hint="eastAsia"/>
          <w:sz w:val="20"/>
          <w:szCs w:val="20"/>
        </w:rPr>
        <w:t>④　アレルギー対応等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0E4B88" w:rsidRPr="000E4B88" w:rsidTr="00FE6A17">
        <w:tc>
          <w:tcPr>
            <w:tcW w:w="1668" w:type="dxa"/>
            <w:tcBorders>
              <w:bottom w:val="single" w:sz="4" w:space="0" w:color="auto"/>
            </w:tcBorders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1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.</w:t>
            </w:r>
            <w:r w:rsidRPr="000E4B88">
              <w:rPr>
                <w:rFonts w:ascii="ＭＳ Ｐゴシック" w:hAnsi="ＭＳ Ｐゴシック" w:hint="eastAsia"/>
                <w:sz w:val="18"/>
                <w:szCs w:val="20"/>
              </w:rPr>
              <w:t>食物アレルギー等の対応、アレルギーについての研修・指導等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0E4B88" w:rsidRPr="000E4B88" w:rsidRDefault="000E4B88" w:rsidP="000E4B88">
      <w:pPr>
        <w:rPr>
          <w:rFonts w:ascii="ＭＳ Ｐゴシック" w:hAnsi="ＭＳ Ｐゴシック"/>
          <w:sz w:val="20"/>
          <w:szCs w:val="20"/>
        </w:rPr>
      </w:pPr>
      <w:bookmarkStart w:id="4" w:name="_Hlk160631554"/>
      <w:r w:rsidRPr="000E4B88">
        <w:rPr>
          <w:rFonts w:ascii="ＭＳ Ｐゴシック" w:hAnsi="ＭＳ Ｐゴシック" w:hint="eastAsia"/>
          <w:sz w:val="20"/>
          <w:szCs w:val="20"/>
        </w:rPr>
        <w:t>⑤</w:t>
      </w:r>
      <w:r w:rsidRPr="000E4B88">
        <w:rPr>
          <w:rFonts w:ascii="ＭＳ Ｐゴシック" w:hAnsi="ＭＳ Ｐゴシック"/>
          <w:sz w:val="20"/>
          <w:szCs w:val="20"/>
        </w:rPr>
        <w:t xml:space="preserve">　人材育成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19"/>
                <w:szCs w:val="19"/>
              </w:rPr>
            </w:pPr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1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 xml:space="preserve">. </w:t>
            </w:r>
            <w:r w:rsidRPr="000E4B88">
              <w:rPr>
                <w:rFonts w:ascii="ＭＳ Ｐゴシック" w:hAnsi="ＭＳ Ｐゴシック" w:hint="eastAsia"/>
                <w:sz w:val="19"/>
                <w:szCs w:val="19"/>
              </w:rPr>
              <w:t>正社員・パート職員等の研修体制、調理従事者への配置前研修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19"/>
                <w:szCs w:val="19"/>
              </w:rPr>
            </w:pP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2.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19"/>
                <w:szCs w:val="19"/>
              </w:rPr>
              <w:t>職員の力量（スキル）に問題がある場合の対応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0E4B88" w:rsidRPr="000E4B88" w:rsidRDefault="000E4B88" w:rsidP="000E4B88">
      <w:pPr>
        <w:rPr>
          <w:rFonts w:ascii="ＭＳ Ｐゴシック" w:hAnsi="ＭＳ Ｐゴシック"/>
          <w:sz w:val="20"/>
          <w:szCs w:val="20"/>
        </w:rPr>
      </w:pPr>
      <w:r w:rsidRPr="000E4B88">
        <w:rPr>
          <w:rFonts w:ascii="ＭＳ Ｐゴシック" w:hAnsi="ＭＳ Ｐゴシック" w:hint="eastAsia"/>
          <w:sz w:val="20"/>
          <w:szCs w:val="20"/>
        </w:rPr>
        <w:t>⑥　非常事態の予防及び発生時の対応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0E4B88" w:rsidRPr="000E4B88" w:rsidTr="00FE6A17"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bookmarkStart w:id="5" w:name="_Hlk160637656"/>
            <w:r w:rsidRPr="000E4B88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1</w:t>
            </w: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 xml:space="preserve">. </w:t>
            </w:r>
            <w:r w:rsidRPr="000E4B88">
              <w:rPr>
                <w:rFonts w:ascii="ＭＳ Ｐゴシック" w:hAnsi="ＭＳ Ｐゴシック" w:hint="eastAsia"/>
                <w:sz w:val="18"/>
                <w:szCs w:val="20"/>
              </w:rPr>
              <w:t>異物混入防止への取組、異物混入発生時の対応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rPr>
          <w:trHeight w:val="867"/>
        </w:trPr>
        <w:tc>
          <w:tcPr>
            <w:tcW w:w="1668" w:type="dxa"/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bookmarkStart w:id="6" w:name="_Hlk160637521"/>
            <w:bookmarkEnd w:id="5"/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2.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食中毒発生時の対応</w:t>
            </w:r>
          </w:p>
        </w:tc>
        <w:tc>
          <w:tcPr>
            <w:tcW w:w="7544" w:type="dxa"/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3.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調理業務従事者の健康管理体制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0E4B88" w:rsidRPr="000E4B88" w:rsidTr="00FE6A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bookmarkStart w:id="7" w:name="_Hlk160635708"/>
            <w:bookmarkEnd w:id="6"/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4.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調理従事者の感染症発生時の対応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bookmarkEnd w:id="4"/>
      <w:bookmarkEnd w:id="7"/>
      <w:tr w:rsidR="000E4B88" w:rsidRPr="000E4B88" w:rsidTr="00FE6A17">
        <w:trPr>
          <w:trHeight w:val="7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E4B88">
              <w:rPr>
                <w:rFonts w:ascii="ＭＳ Ｐゴシック" w:hAnsi="ＭＳ Ｐゴシック"/>
                <w:b/>
                <w:bCs/>
                <w:sz w:val="20"/>
                <w:szCs w:val="20"/>
              </w:rPr>
              <w:t>5.</w:t>
            </w:r>
            <w:r w:rsidRPr="000E4B88">
              <w:rPr>
                <w:rFonts w:ascii="ＭＳ Ｐゴシック" w:hAnsi="ＭＳ Ｐゴシック"/>
                <w:sz w:val="20"/>
                <w:szCs w:val="20"/>
              </w:rPr>
              <w:t xml:space="preserve"> </w:t>
            </w:r>
            <w:r w:rsidRPr="000E4B88">
              <w:rPr>
                <w:rFonts w:ascii="ＭＳ Ｐゴシック" w:hAnsi="ＭＳ Ｐゴシック" w:hint="eastAsia"/>
                <w:sz w:val="20"/>
                <w:szCs w:val="20"/>
              </w:rPr>
              <w:t>緊急災害時の協力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0E4B88" w:rsidRPr="000E4B88" w:rsidRDefault="000E4B88" w:rsidP="000E4B88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0E4B88" w:rsidRPr="000E4B88" w:rsidRDefault="000E4B88" w:rsidP="000E4B88">
      <w:pPr>
        <w:rPr>
          <w:rFonts w:ascii="ＭＳ Ｐゴシック" w:hAnsi="ＭＳ Ｐゴシック"/>
          <w:sz w:val="20"/>
        </w:rPr>
      </w:pPr>
      <w:bookmarkStart w:id="8" w:name="_Hlk161049184"/>
      <w:r w:rsidRPr="000E4B88">
        <w:rPr>
          <w:rFonts w:ascii="ＭＳ Ｐゴシック" w:hAnsi="ＭＳ Ｐゴシック" w:hint="eastAsia"/>
          <w:sz w:val="20"/>
        </w:rPr>
        <w:t>※各項目とも簡潔にまとめ、全体でＡ４片面</w:t>
      </w:r>
      <w:r w:rsidRPr="000E4B88">
        <w:rPr>
          <w:rFonts w:ascii="ＭＳ Ｐゴシック" w:hAnsi="ＭＳ Ｐゴシック" w:hint="eastAsia"/>
          <w:sz w:val="20"/>
        </w:rPr>
        <w:t>3</w:t>
      </w:r>
      <w:r w:rsidRPr="000E4B88">
        <w:rPr>
          <w:rFonts w:ascii="ＭＳ Ｐゴシック" w:hAnsi="ＭＳ Ｐゴシック" w:hint="eastAsia"/>
          <w:sz w:val="20"/>
        </w:rPr>
        <w:t>枚を超えないこと。（文字の大きさは</w:t>
      </w:r>
      <w:r w:rsidRPr="000E4B88">
        <w:rPr>
          <w:rFonts w:ascii="ＭＳ Ｐゴシック" w:hAnsi="ＭＳ Ｐゴシック" w:hint="eastAsia"/>
          <w:sz w:val="20"/>
        </w:rPr>
        <w:t>10</w:t>
      </w:r>
      <w:r w:rsidRPr="000E4B88">
        <w:rPr>
          <w:rFonts w:ascii="ＭＳ Ｐゴシック" w:hAnsi="ＭＳ Ｐゴシック" w:hint="eastAsia"/>
          <w:sz w:val="20"/>
        </w:rPr>
        <w:t>ポイントで記載）</w:t>
      </w:r>
      <w:bookmarkEnd w:id="8"/>
    </w:p>
    <w:sectPr w:rsidR="000E4B88" w:rsidRPr="000E4B88" w:rsidSect="00CD011B">
      <w:type w:val="continuous"/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51" w:rsidRDefault="00C62351" w:rsidP="00727BB8">
      <w:r>
        <w:separator/>
      </w:r>
    </w:p>
  </w:endnote>
  <w:endnote w:type="continuationSeparator" w:id="0">
    <w:p w:rsidR="00C62351" w:rsidRDefault="00C62351" w:rsidP="0072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51" w:rsidRDefault="00C62351" w:rsidP="00727BB8">
      <w:r>
        <w:separator/>
      </w:r>
    </w:p>
  </w:footnote>
  <w:footnote w:type="continuationSeparator" w:id="0">
    <w:p w:rsidR="00C62351" w:rsidRDefault="00C62351" w:rsidP="0072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DE"/>
    <w:rsid w:val="00003C76"/>
    <w:rsid w:val="000E4B88"/>
    <w:rsid w:val="002A721F"/>
    <w:rsid w:val="00417079"/>
    <w:rsid w:val="004428E7"/>
    <w:rsid w:val="00727BB8"/>
    <w:rsid w:val="007F70B6"/>
    <w:rsid w:val="00A54DBE"/>
    <w:rsid w:val="00BC26DE"/>
    <w:rsid w:val="00C62351"/>
    <w:rsid w:val="00CD011B"/>
    <w:rsid w:val="00E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70350-710F-41E2-92A0-2C77821D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727BB8"/>
  </w:style>
  <w:style w:type="paragraph" w:styleId="a6">
    <w:name w:val="footer"/>
    <w:basedOn w:val="a"/>
    <w:link w:val="a7"/>
    <w:uiPriority w:val="99"/>
    <w:unhideWhenUsed/>
    <w:rsid w:val="00727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72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早乙女 栞菜</dc:creator>
  <cp:keywords/>
  <dc:description/>
  <cp:lastModifiedBy>橋本 巳恵子</cp:lastModifiedBy>
  <cp:revision>7</cp:revision>
  <dcterms:created xsi:type="dcterms:W3CDTF">2024-06-12T04:05:00Z</dcterms:created>
  <dcterms:modified xsi:type="dcterms:W3CDTF">2024-06-19T09:33:00Z</dcterms:modified>
</cp:coreProperties>
</file>